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D3" w:rsidRDefault="001664D3" w:rsidP="001664D3">
      <w:pPr>
        <w:pStyle w:val="Heading1"/>
        <w:tabs>
          <w:tab w:val="left" w:pos="720"/>
          <w:tab w:val="center" w:pos="1425"/>
          <w:tab w:val="center" w:pos="5760"/>
        </w:tabs>
        <w:spacing w:before="0" w:after="0"/>
        <w:ind w:firstLine="0"/>
        <w:rPr>
          <w:b w:val="0"/>
          <w:color w:val="000000"/>
        </w:rPr>
      </w:pPr>
      <w:r>
        <w:rPr>
          <w:i w:val="0"/>
          <w:color w:val="000000"/>
          <w:sz w:val="26"/>
          <w:szCs w:val="26"/>
          <w:lang w:val="nl-NL"/>
        </w:rPr>
        <w:t xml:space="preserve">    </w:t>
      </w:r>
      <w:r>
        <w:rPr>
          <w:b w:val="0"/>
          <w:i w:val="0"/>
          <w:color w:val="000000"/>
          <w:sz w:val="26"/>
          <w:szCs w:val="26"/>
          <w:lang w:val="nl-NL"/>
        </w:rPr>
        <w:tab/>
      </w:r>
      <w:r>
        <w:rPr>
          <w:b w:val="0"/>
          <w:i w:val="0"/>
          <w:color w:val="000000"/>
          <w:sz w:val="26"/>
          <w:szCs w:val="26"/>
          <w:lang w:val="nl-NL"/>
        </w:rPr>
        <w:tab/>
      </w:r>
      <w:r>
        <w:rPr>
          <w:b w:val="0"/>
          <w:i w:val="0"/>
          <w:color w:val="000000"/>
          <w:sz w:val="26"/>
          <w:szCs w:val="26"/>
          <w:lang w:val="nl-NL"/>
        </w:rPr>
        <w:tab/>
      </w:r>
      <w:r>
        <w:rPr>
          <w:i w:val="0"/>
          <w:color w:val="000000"/>
          <w:sz w:val="26"/>
          <w:szCs w:val="26"/>
          <w:lang w:val="nl-NL"/>
        </w:rPr>
        <w:t xml:space="preserve">       </w:t>
      </w:r>
    </w:p>
    <w:tbl>
      <w:tblPr>
        <w:tblStyle w:val="TableGrid"/>
        <w:tblpPr w:leftFromText="180" w:rightFromText="180" w:horzAnchor="page" w:tblpX="1053" w:tblpY="-460"/>
        <w:tblW w:w="10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860"/>
      </w:tblGrid>
      <w:tr w:rsidR="001664D3" w:rsidRPr="003467CA" w:rsidTr="00270023">
        <w:tc>
          <w:tcPr>
            <w:tcW w:w="4608" w:type="dxa"/>
          </w:tcPr>
          <w:p w:rsidR="001664D3" w:rsidRPr="003467CA" w:rsidRDefault="001664D3" w:rsidP="00270023">
            <w:pPr>
              <w:widowControl w:val="0"/>
              <w:suppressAutoHyphens/>
              <w:autoSpaceDE w:val="0"/>
              <w:autoSpaceDN w:val="0"/>
              <w:adjustRightInd w:val="0"/>
              <w:jc w:val="center"/>
              <w:rPr>
                <w:iCs/>
                <w:sz w:val="26"/>
                <w:szCs w:val="26"/>
              </w:rPr>
            </w:pPr>
            <w:r w:rsidRPr="003467CA">
              <w:rPr>
                <w:iCs/>
                <w:sz w:val="26"/>
                <w:szCs w:val="26"/>
              </w:rPr>
              <w:t>PHÒNG GD&amp;ĐT CẦN GIUỘC</w:t>
            </w:r>
          </w:p>
        </w:tc>
        <w:tc>
          <w:tcPr>
            <w:tcW w:w="5860" w:type="dxa"/>
          </w:tcPr>
          <w:p w:rsidR="001664D3" w:rsidRPr="003467CA" w:rsidRDefault="001664D3" w:rsidP="00270023">
            <w:pPr>
              <w:widowControl w:val="0"/>
              <w:suppressAutoHyphens/>
              <w:autoSpaceDE w:val="0"/>
              <w:autoSpaceDN w:val="0"/>
              <w:adjustRightInd w:val="0"/>
              <w:rPr>
                <w:b/>
                <w:iCs/>
                <w:sz w:val="26"/>
                <w:szCs w:val="26"/>
              </w:rPr>
            </w:pPr>
            <w:r w:rsidRPr="003467CA">
              <w:rPr>
                <w:b/>
                <w:iCs/>
                <w:sz w:val="26"/>
                <w:szCs w:val="26"/>
              </w:rPr>
              <w:t xml:space="preserve">CỘNG HÒA XÃ HỘI CHỦ NGHĨA VIỆT </w:t>
            </w:r>
            <w:smartTag w:uri="urn:schemas-microsoft-com:office:smarttags" w:element="place">
              <w:smartTag w:uri="urn:schemas-microsoft-com:office:smarttags" w:element="country-region">
                <w:r w:rsidRPr="003467CA">
                  <w:rPr>
                    <w:b/>
                    <w:iCs/>
                    <w:sz w:val="26"/>
                    <w:szCs w:val="26"/>
                  </w:rPr>
                  <w:t>NAM</w:t>
                </w:r>
              </w:smartTag>
            </w:smartTag>
          </w:p>
        </w:tc>
      </w:tr>
      <w:tr w:rsidR="001664D3" w:rsidRPr="003467CA" w:rsidTr="00270023">
        <w:tc>
          <w:tcPr>
            <w:tcW w:w="4608" w:type="dxa"/>
          </w:tcPr>
          <w:p w:rsidR="001664D3" w:rsidRPr="003467CA" w:rsidRDefault="001664D3" w:rsidP="00270023">
            <w:pPr>
              <w:widowControl w:val="0"/>
              <w:suppressAutoHyphens/>
              <w:autoSpaceDE w:val="0"/>
              <w:autoSpaceDN w:val="0"/>
              <w:adjustRightInd w:val="0"/>
              <w:ind w:left="-360" w:firstLine="360"/>
              <w:rPr>
                <w:b/>
                <w:iCs/>
                <w:sz w:val="26"/>
                <w:szCs w:val="26"/>
              </w:rPr>
            </w:pPr>
            <w:r>
              <w:rPr>
                <w:b/>
                <w:iCs/>
                <w:sz w:val="26"/>
                <w:szCs w:val="26"/>
              </w:rPr>
              <w:t>TRƯỜNG TH PHƯỚC VĨNH ĐÔNG</w:t>
            </w:r>
          </w:p>
          <w:p w:rsidR="001664D3" w:rsidRPr="003467CA" w:rsidRDefault="001664D3" w:rsidP="00270023">
            <w:pPr>
              <w:widowControl w:val="0"/>
              <w:suppressAutoHyphens/>
              <w:autoSpaceDE w:val="0"/>
              <w:autoSpaceDN w:val="0"/>
              <w:adjustRightInd w:val="0"/>
              <w:jc w:val="center"/>
              <w:rPr>
                <w:b/>
                <w:iCs/>
                <w:sz w:val="26"/>
                <w:szCs w:val="26"/>
              </w:rPr>
            </w:pPr>
            <w:r w:rsidRPr="003467CA">
              <w:rPr>
                <w:b/>
                <w:iCs/>
                <w:noProof/>
                <w:sz w:val="26"/>
                <w:szCs w:val="26"/>
              </w:rPr>
              <mc:AlternateContent>
                <mc:Choice Requires="wps">
                  <w:drawing>
                    <wp:anchor distT="0" distB="0" distL="114300" distR="114300" simplePos="0" relativeHeight="251661312" behindDoc="0" locked="0" layoutInCell="1" allowOverlap="1" wp14:anchorId="3CABFBF6" wp14:editId="2CEDEA67">
                      <wp:simplePos x="0" y="0"/>
                      <wp:positionH relativeFrom="column">
                        <wp:posOffset>779145</wp:posOffset>
                      </wp:positionH>
                      <wp:positionV relativeFrom="paragraph">
                        <wp:posOffset>34290</wp:posOffset>
                      </wp:positionV>
                      <wp:extent cx="8382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2.7pt" to="127.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qDHAIAADU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"/>
                  </w:pict>
                </mc:Fallback>
              </mc:AlternateContent>
            </w:r>
          </w:p>
          <w:p w:rsidR="001664D3" w:rsidRPr="003467CA" w:rsidRDefault="001664D3" w:rsidP="001A7617">
            <w:pPr>
              <w:widowControl w:val="0"/>
              <w:suppressAutoHyphens/>
              <w:autoSpaceDE w:val="0"/>
              <w:autoSpaceDN w:val="0"/>
              <w:adjustRightInd w:val="0"/>
              <w:rPr>
                <w:iCs/>
                <w:sz w:val="26"/>
                <w:szCs w:val="26"/>
              </w:rPr>
            </w:pPr>
            <w:r>
              <w:rPr>
                <w:iCs/>
                <w:sz w:val="26"/>
                <w:szCs w:val="26"/>
              </w:rPr>
              <w:t xml:space="preserve">              </w:t>
            </w:r>
            <w:r w:rsidRPr="003467CA">
              <w:rPr>
                <w:iCs/>
                <w:sz w:val="26"/>
                <w:szCs w:val="26"/>
              </w:rPr>
              <w:t xml:space="preserve">Số: </w:t>
            </w:r>
            <w:r w:rsidR="001A7617">
              <w:rPr>
                <w:iCs/>
                <w:sz w:val="26"/>
                <w:szCs w:val="26"/>
              </w:rPr>
              <w:t>107</w:t>
            </w:r>
            <w:r>
              <w:rPr>
                <w:iCs/>
                <w:sz w:val="26"/>
                <w:szCs w:val="26"/>
              </w:rPr>
              <w:t xml:space="preserve"> /KH- HT</w:t>
            </w:r>
          </w:p>
        </w:tc>
        <w:tc>
          <w:tcPr>
            <w:tcW w:w="5860" w:type="dxa"/>
          </w:tcPr>
          <w:p w:rsidR="001664D3" w:rsidRPr="003467CA" w:rsidRDefault="001664D3" w:rsidP="00270023">
            <w:pPr>
              <w:widowControl w:val="0"/>
              <w:suppressAutoHyphens/>
              <w:autoSpaceDE w:val="0"/>
              <w:autoSpaceDN w:val="0"/>
              <w:adjustRightInd w:val="0"/>
              <w:rPr>
                <w:b/>
                <w:iCs/>
                <w:sz w:val="28"/>
                <w:szCs w:val="26"/>
              </w:rPr>
            </w:pPr>
            <w:r>
              <w:rPr>
                <w:b/>
                <w:iCs/>
                <w:sz w:val="28"/>
                <w:szCs w:val="26"/>
              </w:rPr>
              <w:t xml:space="preserve">            </w:t>
            </w:r>
            <w:r w:rsidRPr="003467CA">
              <w:rPr>
                <w:b/>
                <w:iCs/>
                <w:sz w:val="28"/>
                <w:szCs w:val="26"/>
              </w:rPr>
              <w:t>Độc lập – Tự do – Hạnh phúc</w:t>
            </w:r>
          </w:p>
          <w:p w:rsidR="001664D3" w:rsidRPr="003467CA" w:rsidRDefault="001664D3" w:rsidP="00270023">
            <w:pPr>
              <w:widowControl w:val="0"/>
              <w:suppressAutoHyphens/>
              <w:autoSpaceDE w:val="0"/>
              <w:autoSpaceDN w:val="0"/>
              <w:adjustRightInd w:val="0"/>
              <w:jc w:val="center"/>
              <w:rPr>
                <w:b/>
                <w:iCs/>
                <w:sz w:val="28"/>
                <w:szCs w:val="26"/>
              </w:rPr>
            </w:pPr>
            <w:r w:rsidRPr="003467CA">
              <w:rPr>
                <w:b/>
                <w:iCs/>
                <w:noProof/>
                <w:szCs w:val="26"/>
              </w:rPr>
              <mc:AlternateContent>
                <mc:Choice Requires="wps">
                  <w:drawing>
                    <wp:anchor distT="0" distB="0" distL="114300" distR="114300" simplePos="0" relativeHeight="251662336" behindDoc="0" locked="0" layoutInCell="1" allowOverlap="1" wp14:anchorId="3E4649AF" wp14:editId="2985975E">
                      <wp:simplePos x="0" y="0"/>
                      <wp:positionH relativeFrom="column">
                        <wp:posOffset>556895</wp:posOffset>
                      </wp:positionH>
                      <wp:positionV relativeFrom="paragraph">
                        <wp:posOffset>43815</wp:posOffset>
                      </wp:positionV>
                      <wp:extent cx="2209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5pt,3.45pt" to="217.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d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5NJulyk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"/>
                  </w:pict>
                </mc:Fallback>
              </mc:AlternateContent>
            </w:r>
          </w:p>
          <w:p w:rsidR="001664D3" w:rsidRPr="003467CA" w:rsidRDefault="001664D3" w:rsidP="00270023">
            <w:pPr>
              <w:widowControl w:val="0"/>
              <w:suppressAutoHyphens/>
              <w:autoSpaceDE w:val="0"/>
              <w:autoSpaceDN w:val="0"/>
              <w:adjustRightInd w:val="0"/>
              <w:jc w:val="center"/>
              <w:rPr>
                <w:i/>
                <w:iCs/>
                <w:sz w:val="26"/>
                <w:szCs w:val="26"/>
              </w:rPr>
            </w:pPr>
            <w:r>
              <w:rPr>
                <w:i/>
                <w:iCs/>
                <w:sz w:val="26"/>
                <w:szCs w:val="26"/>
              </w:rPr>
              <w:t>Phước Vĩnh Đông, ngày  5 tháng 12</w:t>
            </w:r>
            <w:r w:rsidRPr="003467CA">
              <w:rPr>
                <w:i/>
                <w:iCs/>
                <w:sz w:val="26"/>
                <w:szCs w:val="26"/>
              </w:rPr>
              <w:t xml:space="preserve"> năm 2018</w:t>
            </w:r>
          </w:p>
        </w:tc>
      </w:tr>
    </w:tbl>
    <w:p w:rsidR="001664D3" w:rsidRDefault="001664D3" w:rsidP="001664D3">
      <w:pPr>
        <w:widowControl w:val="0"/>
        <w:suppressAutoHyphens/>
        <w:autoSpaceDE w:val="0"/>
        <w:autoSpaceDN w:val="0"/>
        <w:adjustRightInd w:val="0"/>
        <w:jc w:val="both"/>
      </w:pPr>
      <w:r>
        <w:rPr>
          <w:i/>
          <w:iCs/>
        </w:rPr>
        <w:t xml:space="preserve">                                                              </w:t>
      </w:r>
    </w:p>
    <w:p w:rsidR="001664D3" w:rsidRDefault="001664D3" w:rsidP="001664D3">
      <w:pPr>
        <w:jc w:val="center"/>
        <w:rPr>
          <w:b/>
          <w:sz w:val="28"/>
          <w:szCs w:val="28"/>
          <w:lang w:val="pt-BR"/>
        </w:rPr>
      </w:pPr>
    </w:p>
    <w:p w:rsidR="001664D3" w:rsidRDefault="001664D3" w:rsidP="001664D3">
      <w:pPr>
        <w:jc w:val="center"/>
        <w:rPr>
          <w:b/>
          <w:sz w:val="28"/>
          <w:szCs w:val="28"/>
          <w:lang w:val="pt-BR"/>
        </w:rPr>
      </w:pPr>
      <w:r>
        <w:rPr>
          <w:b/>
          <w:sz w:val="28"/>
          <w:szCs w:val="28"/>
          <w:lang w:val="pt-BR"/>
        </w:rPr>
        <w:t>KẾ HOẠCH</w:t>
      </w:r>
    </w:p>
    <w:p w:rsidR="001664D3" w:rsidRDefault="001664D3" w:rsidP="001664D3">
      <w:pPr>
        <w:jc w:val="center"/>
        <w:rPr>
          <w:b/>
          <w:sz w:val="28"/>
          <w:szCs w:val="28"/>
          <w:lang w:val="pt-BR"/>
        </w:rPr>
      </w:pPr>
      <w:r>
        <w:rPr>
          <w:b/>
          <w:sz w:val="28"/>
          <w:szCs w:val="28"/>
          <w:lang w:val="pt-BR"/>
        </w:rPr>
        <w:t xml:space="preserve">Tăng cường năng lực phòng, chống ma túy  </w:t>
      </w:r>
    </w:p>
    <w:p w:rsidR="001664D3" w:rsidRDefault="001664D3" w:rsidP="001664D3">
      <w:pPr>
        <w:jc w:val="center"/>
        <w:rPr>
          <w:b/>
          <w:sz w:val="28"/>
          <w:szCs w:val="28"/>
          <w:lang w:val="pt-BR"/>
        </w:rPr>
      </w:pPr>
      <w:r>
        <w:rPr>
          <w:b/>
          <w:sz w:val="28"/>
          <w:szCs w:val="28"/>
          <w:lang w:val="pt-BR"/>
        </w:rPr>
        <w:t xml:space="preserve">Năm 2018, năm 2019 </w:t>
      </w:r>
    </w:p>
    <w:p w:rsidR="001664D3" w:rsidRDefault="001664D3" w:rsidP="001664D3">
      <w:pPr>
        <w:jc w:val="center"/>
        <w:rPr>
          <w:sz w:val="28"/>
          <w:szCs w:val="28"/>
          <w:lang w:val="pt-BR"/>
        </w:rPr>
      </w:pPr>
      <w:r>
        <w:rPr>
          <w:noProof/>
        </w:rPr>
        <mc:AlternateContent>
          <mc:Choice Requires="wps">
            <w:drawing>
              <wp:anchor distT="0" distB="0" distL="114300" distR="114300" simplePos="0" relativeHeight="251659264" behindDoc="0" locked="0" layoutInCell="1" allowOverlap="1">
                <wp:simplePos x="0" y="0"/>
                <wp:positionH relativeFrom="column">
                  <wp:posOffset>2571750</wp:posOffset>
                </wp:positionH>
                <wp:positionV relativeFrom="paragraph">
                  <wp:posOffset>78105</wp:posOffset>
                </wp:positionV>
                <wp:extent cx="838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6.15pt" to="26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NyGwIAADU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"/>
            </w:pict>
          </mc:Fallback>
        </mc:AlternateContent>
      </w:r>
      <w:r>
        <w:rPr>
          <w:sz w:val="28"/>
          <w:szCs w:val="28"/>
          <w:lang w:val="pt-BR"/>
        </w:rPr>
        <w:t xml:space="preserve">                    </w:t>
      </w:r>
    </w:p>
    <w:p w:rsidR="001664D3" w:rsidRDefault="001664D3" w:rsidP="001664D3">
      <w:pPr>
        <w:spacing w:line="264" w:lineRule="auto"/>
        <w:jc w:val="both"/>
        <w:rPr>
          <w:sz w:val="28"/>
          <w:szCs w:val="28"/>
          <w:lang w:val="pt-BR"/>
        </w:rPr>
      </w:pPr>
      <w:r>
        <w:rPr>
          <w:sz w:val="28"/>
          <w:szCs w:val="28"/>
          <w:lang w:val="pt-BR"/>
        </w:rPr>
        <w:tab/>
        <w:t xml:space="preserve">Thực hiện Quyết định số 3671/QĐ-UBND ngày 11/10/2018 của Ủy ban nhân dân tỉnh Long An về việc phê duyệt Kế hoạch Tăng cường năng lực phòng, chống ma túy trong trường học đến năm 2020 của ngành Giáo dục và Đào tạo tỉnh Long An và  Kế hoạch số 2851/KH-SGDĐT, ngày 09/11/2018 của Sở Giáo dục và Đào tạo về việc Tăng cường năng lực phòng, chống ma túy trong trường học năm 2018, năm 2019. </w:t>
      </w:r>
    </w:p>
    <w:p w:rsidR="001664D3" w:rsidRDefault="00A96E90" w:rsidP="001664D3">
      <w:pPr>
        <w:spacing w:line="264" w:lineRule="auto"/>
        <w:ind w:firstLine="720"/>
        <w:jc w:val="both"/>
        <w:rPr>
          <w:b/>
          <w:sz w:val="28"/>
          <w:szCs w:val="28"/>
          <w:lang w:val="pt-BR"/>
        </w:rPr>
      </w:pPr>
      <w:r>
        <w:rPr>
          <w:sz w:val="28"/>
          <w:szCs w:val="28"/>
          <w:lang w:val="pt-BR"/>
        </w:rPr>
        <w:t>Căn cứ k</w:t>
      </w:r>
      <w:r w:rsidR="001664D3">
        <w:rPr>
          <w:sz w:val="28"/>
          <w:szCs w:val="28"/>
          <w:lang w:val="pt-BR"/>
        </w:rPr>
        <w:t xml:space="preserve">ế hoạch </w:t>
      </w:r>
      <w:r>
        <w:rPr>
          <w:sz w:val="28"/>
          <w:szCs w:val="28"/>
          <w:lang w:val="pt-BR"/>
        </w:rPr>
        <w:t>số: 1199/ PGD&amp;ĐT; ngày 27/11/2018;</w:t>
      </w:r>
      <w:r w:rsidR="001664D3">
        <w:rPr>
          <w:sz w:val="28"/>
          <w:szCs w:val="28"/>
          <w:lang w:val="pt-BR"/>
        </w:rPr>
        <w:t>Tăng cường năng lực phòng, chống ma túy trong trường học năm 2018, năm 2019</w:t>
      </w:r>
      <w:r>
        <w:rPr>
          <w:sz w:val="28"/>
          <w:szCs w:val="28"/>
          <w:lang w:val="pt-BR"/>
        </w:rPr>
        <w:t xml:space="preserve">; Trường tiểu học Phước Vĩnh Đông xây dựng kế hoạch </w:t>
      </w:r>
      <w:r w:rsidR="001664D3">
        <w:rPr>
          <w:sz w:val="28"/>
          <w:szCs w:val="28"/>
          <w:lang w:val="pt-BR"/>
        </w:rPr>
        <w:t xml:space="preserve"> cụ thể như sau:</w:t>
      </w:r>
    </w:p>
    <w:p w:rsidR="001664D3" w:rsidRDefault="001664D3" w:rsidP="001664D3">
      <w:pPr>
        <w:spacing w:line="264" w:lineRule="auto"/>
        <w:ind w:firstLine="720"/>
        <w:jc w:val="both"/>
        <w:rPr>
          <w:b/>
          <w:sz w:val="28"/>
          <w:szCs w:val="28"/>
          <w:lang w:val="pt-BR"/>
        </w:rPr>
      </w:pPr>
      <w:r>
        <w:rPr>
          <w:b/>
          <w:sz w:val="28"/>
          <w:szCs w:val="28"/>
          <w:lang w:val="pt-BR"/>
        </w:rPr>
        <w:t>I</w:t>
      </w:r>
      <w:r>
        <w:rPr>
          <w:b/>
          <w:sz w:val="28"/>
          <w:szCs w:val="28"/>
          <w:lang w:val="vi-VN"/>
        </w:rPr>
        <w:t>. M</w:t>
      </w:r>
      <w:bookmarkStart w:id="0" w:name="_Toc352403748"/>
      <w:bookmarkStart w:id="1" w:name="_Toc352403723"/>
      <w:bookmarkStart w:id="2" w:name="_Toc352355794"/>
      <w:bookmarkStart w:id="3" w:name="_Toc351481940"/>
      <w:bookmarkStart w:id="4" w:name="_Toc351481858"/>
      <w:bookmarkStart w:id="5" w:name="_Toc351481835"/>
      <w:r>
        <w:rPr>
          <w:b/>
          <w:sz w:val="28"/>
          <w:szCs w:val="28"/>
        </w:rPr>
        <w:t>ục đích</w:t>
      </w:r>
      <w:r>
        <w:rPr>
          <w:b/>
          <w:sz w:val="28"/>
          <w:szCs w:val="28"/>
          <w:lang w:val="pt-BR"/>
        </w:rPr>
        <w:t xml:space="preserve"> </w:t>
      </w:r>
    </w:p>
    <w:p w:rsidR="001664D3" w:rsidRDefault="001664D3" w:rsidP="001664D3">
      <w:pPr>
        <w:spacing w:line="264" w:lineRule="auto"/>
        <w:ind w:firstLine="720"/>
        <w:jc w:val="both"/>
        <w:rPr>
          <w:sz w:val="28"/>
          <w:szCs w:val="28"/>
          <w:lang w:val="pt-BR"/>
        </w:rPr>
      </w:pPr>
      <w:r>
        <w:rPr>
          <w:sz w:val="28"/>
          <w:szCs w:val="28"/>
          <w:lang w:val="pt-BR"/>
        </w:rPr>
        <w:t>Tạo chuyển biến về nhận thức và trách nhiệm của đội ngũ cán bộ, công chức, viên chức, nhân viên và học sinh trong công tác phòng ngừa, đấu tranh với tệ nạn ma túy; ngăn chặn không để tệ nạn ma túy xâm nhập vào trường học.</w:t>
      </w:r>
    </w:p>
    <w:p w:rsidR="001664D3" w:rsidRDefault="001664D3" w:rsidP="001664D3">
      <w:pPr>
        <w:spacing w:line="264" w:lineRule="auto"/>
        <w:ind w:firstLine="720"/>
        <w:jc w:val="both"/>
        <w:rPr>
          <w:sz w:val="28"/>
          <w:szCs w:val="28"/>
          <w:lang w:val="pt-BR"/>
        </w:rPr>
      </w:pPr>
      <w:r>
        <w:rPr>
          <w:sz w:val="28"/>
          <w:szCs w:val="28"/>
          <w:lang w:val="pt-BR"/>
        </w:rPr>
        <w:t>Nâng cao ý thức, trách nhiệm của đội ngũ cán bộ, công chức, viên chức, nhân viên và học sinh trong công tác phòng, chống tệ nạn ma túy, tác hại của tệ nạn ma túy.</w:t>
      </w:r>
    </w:p>
    <w:p w:rsidR="001664D3" w:rsidRDefault="001664D3" w:rsidP="001664D3">
      <w:pPr>
        <w:spacing w:line="264" w:lineRule="auto"/>
        <w:ind w:firstLine="720"/>
        <w:jc w:val="both"/>
        <w:rPr>
          <w:b/>
          <w:sz w:val="28"/>
          <w:szCs w:val="28"/>
          <w:lang w:val="pt-BR"/>
        </w:rPr>
      </w:pPr>
      <w:bookmarkStart w:id="6" w:name="_Toc352403750"/>
      <w:bookmarkStart w:id="7" w:name="_Toc352403725"/>
      <w:bookmarkStart w:id="8" w:name="_Toc352355796"/>
      <w:bookmarkStart w:id="9" w:name="_Toc351481942"/>
      <w:bookmarkStart w:id="10" w:name="_Toc351481860"/>
      <w:bookmarkStart w:id="11" w:name="_Toc351481837"/>
      <w:bookmarkEnd w:id="0"/>
      <w:bookmarkEnd w:id="1"/>
      <w:bookmarkEnd w:id="2"/>
      <w:bookmarkEnd w:id="3"/>
      <w:bookmarkEnd w:id="4"/>
      <w:bookmarkEnd w:id="5"/>
      <w:r>
        <w:rPr>
          <w:b/>
          <w:sz w:val="28"/>
          <w:szCs w:val="28"/>
          <w:lang w:val="vi-VN"/>
        </w:rPr>
        <w:t xml:space="preserve">II. </w:t>
      </w:r>
      <w:bookmarkEnd w:id="6"/>
      <w:bookmarkEnd w:id="7"/>
      <w:bookmarkEnd w:id="8"/>
      <w:bookmarkEnd w:id="9"/>
      <w:bookmarkEnd w:id="10"/>
      <w:bookmarkEnd w:id="11"/>
      <w:r>
        <w:rPr>
          <w:b/>
          <w:sz w:val="28"/>
          <w:szCs w:val="28"/>
          <w:lang w:val="pt-BR"/>
        </w:rPr>
        <w:t>Nhiệm vụ và giải pháp chủ yếu</w:t>
      </w:r>
    </w:p>
    <w:p w:rsidR="001664D3" w:rsidRDefault="001664D3" w:rsidP="001664D3">
      <w:pPr>
        <w:spacing w:line="264" w:lineRule="auto"/>
        <w:ind w:firstLine="720"/>
        <w:jc w:val="both"/>
        <w:rPr>
          <w:b/>
          <w:sz w:val="28"/>
          <w:szCs w:val="28"/>
          <w:lang w:val="pt-BR"/>
        </w:rPr>
      </w:pPr>
      <w:r>
        <w:rPr>
          <w:b/>
          <w:sz w:val="28"/>
          <w:szCs w:val="28"/>
          <w:lang w:val="pt-BR"/>
        </w:rPr>
        <w:t>1. Tổ chức tuyên truyền phòng, chống ma túy trong trường học</w:t>
      </w:r>
    </w:p>
    <w:p w:rsidR="001664D3" w:rsidRDefault="001664D3" w:rsidP="001664D3">
      <w:pPr>
        <w:spacing w:line="264" w:lineRule="auto"/>
        <w:ind w:firstLine="720"/>
        <w:jc w:val="both"/>
        <w:rPr>
          <w:sz w:val="28"/>
          <w:szCs w:val="28"/>
          <w:lang w:val="pt-BR"/>
        </w:rPr>
      </w:pPr>
      <w:r>
        <w:rPr>
          <w:sz w:val="28"/>
          <w:szCs w:val="28"/>
          <w:lang w:val="pt-BR"/>
        </w:rPr>
        <w:t>Tổ chức mít tinh, tọa đàm, giao lưu, nói chuyện chuyên đề, thi sáng tác các tác phẩm, thi biểu diễn tiểu phẩm nội dung tuyên truyền về phòng, chống ma túy; lồng ghép nội dung tuyên truyền trong các cuộc họp cha mẹ học sinh.</w:t>
      </w:r>
    </w:p>
    <w:p w:rsidR="001664D3" w:rsidRDefault="001664D3" w:rsidP="001664D3">
      <w:pPr>
        <w:spacing w:line="264" w:lineRule="auto"/>
        <w:ind w:firstLine="720"/>
        <w:jc w:val="both"/>
        <w:rPr>
          <w:sz w:val="28"/>
          <w:szCs w:val="28"/>
          <w:lang w:val="pt-BR"/>
        </w:rPr>
      </w:pPr>
      <w:r>
        <w:rPr>
          <w:sz w:val="28"/>
          <w:szCs w:val="28"/>
          <w:lang w:val="pt-BR"/>
        </w:rPr>
        <w:t>Phối hợp cơ quan Công an, ngành chức năng giáo dục kỹ năng phòng chống ma túy phù hợp với từng nhóm, đối tượng học sinh cụ thể trong đó chú ý đến tác hại và xu hướng sử dụng ma túy tổng hợp, chất hướng thần và một số chất ma túy mới.</w:t>
      </w:r>
    </w:p>
    <w:p w:rsidR="001664D3" w:rsidRDefault="003E1F90" w:rsidP="001664D3">
      <w:pPr>
        <w:spacing w:line="264" w:lineRule="auto"/>
        <w:ind w:firstLine="720"/>
        <w:jc w:val="both"/>
        <w:rPr>
          <w:sz w:val="28"/>
          <w:szCs w:val="28"/>
          <w:lang w:val="pt-BR"/>
        </w:rPr>
      </w:pPr>
      <w:r>
        <w:rPr>
          <w:sz w:val="28"/>
          <w:szCs w:val="28"/>
          <w:lang w:val="pt-BR"/>
        </w:rPr>
        <w:t>C</w:t>
      </w:r>
      <w:r w:rsidR="001664D3">
        <w:rPr>
          <w:sz w:val="28"/>
          <w:szCs w:val="28"/>
          <w:lang w:val="pt-BR"/>
        </w:rPr>
        <w:t>hủ động tổ chức các biện pháp ngăn chặn đội ngũ cán bộ, công chức, viên chức, nhân viên, học sinh và phụ huynh học sinh việc trồng trái phép cây có chứa chất ma túy.</w:t>
      </w:r>
    </w:p>
    <w:p w:rsidR="001664D3" w:rsidRDefault="001664D3" w:rsidP="001664D3">
      <w:pPr>
        <w:spacing w:line="264" w:lineRule="auto"/>
        <w:ind w:firstLine="720"/>
        <w:jc w:val="both"/>
        <w:rPr>
          <w:b/>
          <w:sz w:val="28"/>
          <w:szCs w:val="28"/>
          <w:lang w:val="pt-BR"/>
        </w:rPr>
      </w:pPr>
      <w:r>
        <w:rPr>
          <w:b/>
          <w:sz w:val="28"/>
          <w:szCs w:val="28"/>
          <w:lang w:val="pt-BR"/>
        </w:rPr>
        <w:lastRenderedPageBreak/>
        <w:t>2. Duy trì, phát triển, hỗ trợ hoạt động hiệu quả của Câu lạc bộ “Tuổi trẻ phòng, chống ma túy”</w:t>
      </w:r>
    </w:p>
    <w:p w:rsidR="001664D3" w:rsidRDefault="001664D3" w:rsidP="001664D3">
      <w:pPr>
        <w:spacing w:line="264" w:lineRule="auto"/>
        <w:ind w:firstLine="720"/>
        <w:jc w:val="both"/>
        <w:rPr>
          <w:b/>
          <w:sz w:val="28"/>
          <w:szCs w:val="28"/>
          <w:lang w:val="pt-BR"/>
        </w:rPr>
      </w:pPr>
      <w:r>
        <w:rPr>
          <w:color w:val="000000"/>
          <w:sz w:val="28"/>
          <w:szCs w:val="28"/>
          <w:lang w:val="pt-BR"/>
        </w:rPr>
        <w:t>Tổ chức cho học sinh tham gia sinh hoạt các câu lạc bộ về phòng, chống ma túy.</w:t>
      </w:r>
    </w:p>
    <w:p w:rsidR="001664D3" w:rsidRDefault="00A96E90" w:rsidP="001664D3">
      <w:pPr>
        <w:spacing w:line="264" w:lineRule="auto"/>
        <w:jc w:val="both"/>
        <w:rPr>
          <w:sz w:val="28"/>
          <w:szCs w:val="28"/>
          <w:lang w:val="pt-BR"/>
        </w:rPr>
      </w:pPr>
      <w:r>
        <w:rPr>
          <w:sz w:val="28"/>
          <w:szCs w:val="28"/>
          <w:lang w:val="pt-BR"/>
        </w:rPr>
        <w:t xml:space="preserve">          </w:t>
      </w:r>
      <w:r w:rsidR="001664D3">
        <w:rPr>
          <w:sz w:val="28"/>
          <w:szCs w:val="28"/>
          <w:lang w:val="pt-BR"/>
        </w:rPr>
        <w:t xml:space="preserve">Phối hợp ngành chức năng, địa phương duy trì và phát triển các mô hình Câu lạc bộ “Tuổi trẻ phòng, chống ma túy” </w:t>
      </w:r>
    </w:p>
    <w:p w:rsidR="001664D3" w:rsidRDefault="001664D3" w:rsidP="001664D3">
      <w:pPr>
        <w:spacing w:line="264" w:lineRule="auto"/>
        <w:ind w:firstLine="720"/>
        <w:jc w:val="both"/>
        <w:rPr>
          <w:b/>
          <w:sz w:val="28"/>
          <w:szCs w:val="28"/>
          <w:lang w:val="pt-BR"/>
        </w:rPr>
      </w:pPr>
      <w:r>
        <w:rPr>
          <w:b/>
          <w:sz w:val="28"/>
          <w:szCs w:val="28"/>
          <w:lang w:val="pt-BR"/>
        </w:rPr>
        <w:t>3. Lồng ghép, tích hợp nội dung giáo dục phòng, chống ma túy trong chương trình và hoạt động giáo dục của các cấp học, trình độ đào tạo</w:t>
      </w:r>
    </w:p>
    <w:p w:rsidR="001664D3" w:rsidRDefault="003E1F90" w:rsidP="001664D3">
      <w:pPr>
        <w:spacing w:line="264" w:lineRule="auto"/>
        <w:ind w:firstLine="720"/>
        <w:jc w:val="both"/>
        <w:rPr>
          <w:sz w:val="28"/>
          <w:szCs w:val="28"/>
          <w:lang w:val="pt-BR"/>
        </w:rPr>
      </w:pPr>
      <w:r>
        <w:rPr>
          <w:sz w:val="28"/>
          <w:szCs w:val="28"/>
          <w:lang w:val="pt-BR"/>
        </w:rPr>
        <w:t>G</w:t>
      </w:r>
      <w:r w:rsidR="001664D3">
        <w:rPr>
          <w:sz w:val="28"/>
          <w:szCs w:val="28"/>
          <w:lang w:val="pt-BR"/>
        </w:rPr>
        <w:t>iáo viên bộ môn có liên quan thực hiện lồng ghép, tích hợp nội dung giáo dục phòng, chống ma túy trong chương trình chính khóa.</w:t>
      </w:r>
    </w:p>
    <w:p w:rsidR="001664D3" w:rsidRDefault="001664D3" w:rsidP="001664D3">
      <w:pPr>
        <w:spacing w:line="264" w:lineRule="auto"/>
        <w:ind w:firstLine="720"/>
        <w:jc w:val="both"/>
        <w:rPr>
          <w:sz w:val="28"/>
          <w:szCs w:val="28"/>
          <w:lang w:val="pt-BR"/>
        </w:rPr>
      </w:pPr>
      <w:r>
        <w:rPr>
          <w:sz w:val="28"/>
          <w:szCs w:val="28"/>
          <w:lang w:val="pt-BR"/>
        </w:rPr>
        <w:t>Các tổ chức đoàn thể (Công đoàn, Đoàn Thanh niên, Đội Thiếu niên) phối hợp giáo viên chủ nhiệm xây dựng chương trình giáo dục phòng, chống ma túy thông qua các hoạt động ngoại khóa.</w:t>
      </w:r>
    </w:p>
    <w:p w:rsidR="001664D3" w:rsidRDefault="001664D3" w:rsidP="001664D3">
      <w:pPr>
        <w:spacing w:line="264" w:lineRule="auto"/>
        <w:ind w:firstLine="720"/>
        <w:jc w:val="both"/>
        <w:rPr>
          <w:sz w:val="28"/>
          <w:szCs w:val="28"/>
          <w:lang w:val="pt-BR"/>
        </w:rPr>
      </w:pPr>
      <w:r>
        <w:rPr>
          <w:sz w:val="28"/>
          <w:szCs w:val="28"/>
          <w:lang w:val="pt-BR"/>
        </w:rPr>
        <w:t>Phối hợp các cơ quan, ngành chức năng để xây dựng tài liệu, học liệu (sách, áp phích, phim tuyên truyền,</w:t>
      </w:r>
      <w:r w:rsidR="003E1F90">
        <w:rPr>
          <w:sz w:val="28"/>
          <w:szCs w:val="28"/>
          <w:lang w:val="pt-BR"/>
        </w:rPr>
        <w:t xml:space="preserve">...) </w:t>
      </w:r>
    </w:p>
    <w:p w:rsidR="001664D3" w:rsidRDefault="001664D3" w:rsidP="001664D3">
      <w:pPr>
        <w:spacing w:line="264" w:lineRule="auto"/>
        <w:ind w:firstLine="720"/>
        <w:jc w:val="both"/>
        <w:rPr>
          <w:b/>
          <w:sz w:val="28"/>
          <w:szCs w:val="28"/>
          <w:lang w:val="pt-BR"/>
        </w:rPr>
      </w:pPr>
      <w:r>
        <w:rPr>
          <w:b/>
          <w:sz w:val="28"/>
          <w:szCs w:val="28"/>
          <w:lang w:val="pt-BR"/>
        </w:rPr>
        <w:t>4. Tập huấn, bồi dưỡng chuyên môn, nghiệp vụ về phòng, chống ma túy</w:t>
      </w:r>
    </w:p>
    <w:p w:rsidR="001664D3" w:rsidRDefault="001664D3" w:rsidP="001664D3">
      <w:pPr>
        <w:spacing w:line="264" w:lineRule="auto"/>
        <w:ind w:firstLine="720"/>
        <w:jc w:val="both"/>
        <w:rPr>
          <w:sz w:val="28"/>
          <w:szCs w:val="28"/>
          <w:lang w:val="pt-BR"/>
        </w:rPr>
      </w:pPr>
      <w:r>
        <w:rPr>
          <w:sz w:val="28"/>
          <w:szCs w:val="28"/>
          <w:lang w:val="pt-BR"/>
        </w:rPr>
        <w:t>Chọn, cử cán bộ, công chức, viên chức dự tập huấn để giảng dạy các nội dung về phòng, chống ma túy.</w:t>
      </w:r>
    </w:p>
    <w:p w:rsidR="001664D3" w:rsidRDefault="001664D3" w:rsidP="001664D3">
      <w:pPr>
        <w:spacing w:line="264" w:lineRule="auto"/>
        <w:ind w:firstLine="720"/>
        <w:jc w:val="both"/>
        <w:rPr>
          <w:b/>
          <w:sz w:val="28"/>
          <w:szCs w:val="28"/>
          <w:lang w:val="pt-BR"/>
        </w:rPr>
      </w:pPr>
      <w:r>
        <w:rPr>
          <w:b/>
          <w:sz w:val="28"/>
          <w:szCs w:val="28"/>
          <w:lang w:val="pt-BR"/>
        </w:rPr>
        <w:t>5. Tổ chức kiểm tra, khảo sát, đánh giá thực trạng tệ nạn ma túy và công tác phòng, chống ma túy tại các trường học</w:t>
      </w:r>
    </w:p>
    <w:p w:rsidR="001664D3" w:rsidRDefault="003E1F90" w:rsidP="001664D3">
      <w:pPr>
        <w:spacing w:line="264" w:lineRule="auto"/>
        <w:ind w:firstLine="720"/>
        <w:jc w:val="both"/>
        <w:rPr>
          <w:sz w:val="28"/>
          <w:szCs w:val="28"/>
          <w:lang w:val="pt-BR"/>
        </w:rPr>
      </w:pPr>
      <w:r>
        <w:rPr>
          <w:sz w:val="28"/>
          <w:szCs w:val="28"/>
          <w:lang w:val="pt-BR"/>
        </w:rPr>
        <w:t xml:space="preserve">Đơn vị </w:t>
      </w:r>
      <w:r w:rsidR="001664D3">
        <w:rPr>
          <w:sz w:val="28"/>
          <w:szCs w:val="28"/>
          <w:lang w:val="pt-BR"/>
        </w:rPr>
        <w:t xml:space="preserve"> chủ động phối hợp với Công an</w:t>
      </w:r>
      <w:r>
        <w:rPr>
          <w:sz w:val="28"/>
          <w:szCs w:val="28"/>
          <w:lang w:val="pt-BR"/>
        </w:rPr>
        <w:t xml:space="preserve"> xã</w:t>
      </w:r>
      <w:r w:rsidR="001664D3">
        <w:rPr>
          <w:sz w:val="28"/>
          <w:szCs w:val="28"/>
          <w:lang w:val="pt-BR"/>
        </w:rPr>
        <w:t>, Trạm Y tế  nắm tình hình cán bộ, công chức, viên chức, nhân viên và học sinh có liên quan đến ma túy ( nếu có ) để có tư vấn, giúp đỡ kịp thời.</w:t>
      </w:r>
    </w:p>
    <w:p w:rsidR="001664D3" w:rsidRDefault="001664D3" w:rsidP="001664D3">
      <w:pPr>
        <w:spacing w:line="264" w:lineRule="auto"/>
        <w:ind w:firstLine="720"/>
        <w:jc w:val="both"/>
        <w:rPr>
          <w:sz w:val="28"/>
          <w:szCs w:val="28"/>
          <w:lang w:val="pt-BR"/>
        </w:rPr>
      </w:pPr>
      <w:r>
        <w:rPr>
          <w:sz w:val="28"/>
          <w:szCs w:val="28"/>
          <w:lang w:val="pt-BR"/>
        </w:rPr>
        <w:t>Thống kê, báo cáo thường xuyên theo định kỳ và báo cáo đột xuất về công tác phòng, chống ma túy và biện pháp xử lý trong trường hợp học sinh liên quan đến tệ nạn ma túy.</w:t>
      </w:r>
    </w:p>
    <w:p w:rsidR="001664D3" w:rsidRDefault="001664D3" w:rsidP="001664D3">
      <w:pPr>
        <w:spacing w:line="264" w:lineRule="auto"/>
        <w:ind w:firstLine="720"/>
        <w:jc w:val="both"/>
        <w:rPr>
          <w:b/>
          <w:sz w:val="28"/>
          <w:szCs w:val="28"/>
          <w:lang w:val="pt-BR"/>
        </w:rPr>
      </w:pPr>
      <w:r>
        <w:rPr>
          <w:b/>
          <w:sz w:val="28"/>
          <w:szCs w:val="28"/>
          <w:lang w:val="pt-BR"/>
        </w:rPr>
        <w:t>III. Kinh phí thực hiện</w:t>
      </w:r>
    </w:p>
    <w:p w:rsidR="001664D3" w:rsidRDefault="001664D3" w:rsidP="001664D3">
      <w:pPr>
        <w:spacing w:line="264" w:lineRule="auto"/>
        <w:ind w:firstLine="720"/>
        <w:jc w:val="both"/>
        <w:rPr>
          <w:sz w:val="28"/>
          <w:szCs w:val="28"/>
          <w:lang w:val="pt-BR"/>
        </w:rPr>
      </w:pPr>
      <w:r>
        <w:rPr>
          <w:color w:val="000000"/>
          <w:sz w:val="28"/>
          <w:szCs w:val="28"/>
        </w:rPr>
        <w:t xml:space="preserve">- </w:t>
      </w:r>
      <w:r>
        <w:rPr>
          <w:color w:val="000000"/>
          <w:sz w:val="28"/>
          <w:szCs w:val="28"/>
          <w:lang w:val="vi-VN"/>
        </w:rPr>
        <w:t>T</w:t>
      </w:r>
      <w:r>
        <w:rPr>
          <w:color w:val="000000"/>
          <w:sz w:val="28"/>
          <w:szCs w:val="28"/>
        </w:rPr>
        <w:t>ừ</w:t>
      </w:r>
      <w:r>
        <w:rPr>
          <w:color w:val="000000"/>
          <w:sz w:val="28"/>
          <w:szCs w:val="28"/>
          <w:lang w:val="vi-VN"/>
        </w:rPr>
        <w:t xml:space="preserve"> </w:t>
      </w:r>
      <w:r>
        <w:rPr>
          <w:color w:val="000000"/>
          <w:sz w:val="28"/>
          <w:szCs w:val="28"/>
          <w:lang w:val="pt-BR"/>
        </w:rPr>
        <w:t>ngân sách nhà nước bố trí trong dự toán ngân sách hàng năm, nguồn chi thường xuyên của trường học</w:t>
      </w:r>
      <w:r w:rsidR="003E1F90">
        <w:rPr>
          <w:color w:val="000000"/>
          <w:sz w:val="28"/>
          <w:szCs w:val="28"/>
          <w:lang w:val="pt-BR"/>
        </w:rPr>
        <w:t>, nguồn tài trợ</w:t>
      </w:r>
      <w:r>
        <w:rPr>
          <w:sz w:val="28"/>
          <w:szCs w:val="28"/>
          <w:lang w:val="pt-BR"/>
        </w:rPr>
        <w:t xml:space="preserve"> vốn hợp pháp khác</w:t>
      </w:r>
      <w:r>
        <w:rPr>
          <w:sz w:val="28"/>
          <w:szCs w:val="28"/>
          <w:lang w:val="vi-VN"/>
        </w:rPr>
        <w:t xml:space="preserve"> </w:t>
      </w:r>
      <w:r>
        <w:rPr>
          <w:sz w:val="28"/>
          <w:szCs w:val="28"/>
          <w:lang w:val="pt-BR"/>
        </w:rPr>
        <w:t>của các tổ chức, cá nhân để hỗ trợ công tác phòng, chống ma túy.</w:t>
      </w:r>
    </w:p>
    <w:p w:rsidR="001664D3" w:rsidRDefault="001664D3" w:rsidP="001664D3">
      <w:pPr>
        <w:spacing w:line="264" w:lineRule="auto"/>
        <w:ind w:firstLine="720"/>
        <w:jc w:val="both"/>
        <w:rPr>
          <w:b/>
          <w:sz w:val="28"/>
          <w:szCs w:val="28"/>
          <w:lang w:val="pt-BR"/>
        </w:rPr>
      </w:pPr>
      <w:r>
        <w:rPr>
          <w:sz w:val="28"/>
          <w:szCs w:val="28"/>
          <w:lang w:val="pt-BR"/>
        </w:rPr>
        <w:t>- Thực hiện lồng ghép hoạt động phòng, chống ma túy với các hoạt động tuyên truyền, giáo dục phòng ngừa tội phạm và phòng, chống vi phạm pháp luật trong học sinh để tiết kiệm nguồn kinh phí nhưng hoạt động vẫn đạt hiệu quả.</w:t>
      </w:r>
    </w:p>
    <w:p w:rsidR="001664D3" w:rsidRPr="003E1F90" w:rsidRDefault="001664D3" w:rsidP="001664D3">
      <w:pPr>
        <w:spacing w:line="264" w:lineRule="auto"/>
        <w:ind w:firstLine="720"/>
        <w:jc w:val="both"/>
        <w:rPr>
          <w:b/>
          <w:color w:val="000000"/>
          <w:sz w:val="28"/>
          <w:szCs w:val="28"/>
        </w:rPr>
      </w:pPr>
      <w:r w:rsidRPr="003E1F90">
        <w:rPr>
          <w:b/>
          <w:sz w:val="28"/>
          <w:szCs w:val="28"/>
        </w:rPr>
        <w:t>IV</w:t>
      </w:r>
      <w:r w:rsidRPr="003E1F90">
        <w:rPr>
          <w:b/>
          <w:color w:val="000000"/>
          <w:sz w:val="28"/>
          <w:szCs w:val="28"/>
        </w:rPr>
        <w:t>. Tổ chức thực hiện</w:t>
      </w:r>
    </w:p>
    <w:p w:rsidR="003E1F90" w:rsidRDefault="003E1F90" w:rsidP="001664D3">
      <w:pPr>
        <w:spacing w:line="264" w:lineRule="auto"/>
        <w:ind w:firstLine="720"/>
        <w:jc w:val="both"/>
        <w:rPr>
          <w:sz w:val="28"/>
          <w:szCs w:val="28"/>
          <w:lang w:val="pt-BR"/>
        </w:rPr>
      </w:pPr>
      <w:r w:rsidRPr="003E1F90">
        <w:rPr>
          <w:sz w:val="28"/>
          <w:szCs w:val="28"/>
        </w:rPr>
        <w:t>Trường xây dựng kế hoach</w:t>
      </w:r>
      <w:r w:rsidR="001664D3">
        <w:rPr>
          <w:sz w:val="28"/>
          <w:szCs w:val="28"/>
          <w:lang w:val="pt-BR"/>
        </w:rPr>
        <w:t xml:space="preserve"> phòng, chống ma túy trong trường học năm 2018, năm 2019</w:t>
      </w:r>
      <w:r>
        <w:rPr>
          <w:sz w:val="28"/>
          <w:szCs w:val="28"/>
          <w:lang w:val="pt-BR"/>
        </w:rPr>
        <w:t>.</w:t>
      </w:r>
    </w:p>
    <w:p w:rsidR="001664D3" w:rsidRDefault="003E1F90" w:rsidP="001664D3">
      <w:pPr>
        <w:spacing w:line="264" w:lineRule="auto"/>
        <w:ind w:firstLine="720"/>
        <w:jc w:val="both"/>
        <w:rPr>
          <w:sz w:val="28"/>
          <w:szCs w:val="28"/>
        </w:rPr>
      </w:pPr>
      <w:r>
        <w:rPr>
          <w:sz w:val="28"/>
          <w:szCs w:val="28"/>
          <w:lang w:val="pt-BR"/>
        </w:rPr>
        <w:lastRenderedPageBreak/>
        <w:t>Công đoàn, đoàn thanh niên tuyên truyền vận động toàn thể cán bộ giáo viên và học sinh tham gia tích cực phòng chống ma túy.</w:t>
      </w:r>
    </w:p>
    <w:p w:rsidR="0029733D" w:rsidRDefault="001664D3" w:rsidP="0029733D">
      <w:pPr>
        <w:spacing w:line="264" w:lineRule="auto"/>
        <w:ind w:firstLine="720"/>
        <w:rPr>
          <w:sz w:val="28"/>
          <w:szCs w:val="28"/>
        </w:rPr>
      </w:pPr>
      <w:r>
        <w:rPr>
          <w:sz w:val="28"/>
          <w:szCs w:val="28"/>
        </w:rPr>
        <w:t xml:space="preserve"> Định kỳ tổ chức sơ kết, tổng kết và báo cáo việc thực hiện Kế hoạch về Phòng GD&amp;ĐT theo quy định.</w:t>
      </w:r>
      <w:r w:rsidR="0029733D" w:rsidRPr="0029733D">
        <w:rPr>
          <w:sz w:val="28"/>
          <w:szCs w:val="28"/>
        </w:rPr>
        <w:t xml:space="preserve"> </w:t>
      </w:r>
      <w:r w:rsidR="0029733D">
        <w:rPr>
          <w:sz w:val="28"/>
          <w:szCs w:val="28"/>
        </w:rPr>
        <w:t xml:space="preserve">định kỳ vào trước ngày </w:t>
      </w:r>
      <w:r w:rsidR="0029733D">
        <w:rPr>
          <w:b/>
          <w:sz w:val="28"/>
          <w:szCs w:val="28"/>
        </w:rPr>
        <w:t xml:space="preserve">15/04 và 15/10 </w:t>
      </w:r>
      <w:r w:rsidR="0029733D">
        <w:rPr>
          <w:sz w:val="28"/>
          <w:szCs w:val="28"/>
        </w:rPr>
        <w:t>hàng năm, gửi về Phòng Giáo dục và Đào tạo huyện (qua địa chỉ email: thanhphuong.pgddtcangiuoc@gmail.com).</w:t>
      </w:r>
    </w:p>
    <w:p w:rsidR="001664D3" w:rsidRDefault="001664D3" w:rsidP="0029733D">
      <w:pPr>
        <w:spacing w:line="264" w:lineRule="auto"/>
        <w:ind w:firstLine="720"/>
        <w:rPr>
          <w:b/>
          <w:sz w:val="28"/>
          <w:szCs w:val="28"/>
        </w:rPr>
      </w:pPr>
      <w:r>
        <w:rPr>
          <w:sz w:val="28"/>
          <w:szCs w:val="28"/>
          <w:lang w:val="it-IT"/>
        </w:rPr>
        <w:t xml:space="preserve">Trên đây là Kế hoạch </w:t>
      </w:r>
      <w:r>
        <w:rPr>
          <w:sz w:val="28"/>
          <w:szCs w:val="28"/>
          <w:lang w:val="pt-BR"/>
        </w:rPr>
        <w:t>Tăng cường năng lực phòng, chống ma túy trong trường học năm 2018, năm 2019</w:t>
      </w:r>
      <w:r>
        <w:rPr>
          <w:b/>
          <w:sz w:val="28"/>
          <w:szCs w:val="28"/>
          <w:lang w:val="pt-BR"/>
        </w:rPr>
        <w:t xml:space="preserve">  </w:t>
      </w:r>
      <w:r w:rsidR="0029733D">
        <w:rPr>
          <w:sz w:val="28"/>
          <w:szCs w:val="28"/>
          <w:lang w:val="it-IT"/>
        </w:rPr>
        <w:t>của trường tiểu học Phước Vĩnh Đông</w:t>
      </w:r>
      <w:r>
        <w:rPr>
          <w:sz w:val="28"/>
          <w:szCs w:val="28"/>
          <w:lang w:val="it-IT"/>
        </w:rPr>
        <w:t>./.</w:t>
      </w:r>
    </w:p>
    <w:tbl>
      <w:tblPr>
        <w:tblW w:w="0" w:type="auto"/>
        <w:tblInd w:w="108" w:type="dxa"/>
        <w:tblLook w:val="04A0" w:firstRow="1" w:lastRow="0" w:firstColumn="1" w:lastColumn="0" w:noHBand="0" w:noVBand="1"/>
      </w:tblPr>
      <w:tblGrid>
        <w:gridCol w:w="4678"/>
        <w:gridCol w:w="4678"/>
      </w:tblGrid>
      <w:tr w:rsidR="001664D3" w:rsidTr="001664D3">
        <w:tc>
          <w:tcPr>
            <w:tcW w:w="4678" w:type="dxa"/>
            <w:hideMark/>
          </w:tcPr>
          <w:p w:rsidR="001664D3" w:rsidRDefault="001664D3">
            <w:pPr>
              <w:jc w:val="both"/>
              <w:rPr>
                <w:b/>
                <w:i/>
                <w:sz w:val="28"/>
                <w:szCs w:val="28"/>
                <w:lang w:val="it-IT"/>
              </w:rPr>
            </w:pPr>
            <w:r>
              <w:rPr>
                <w:b/>
                <w:i/>
                <w:lang w:val="de-DE"/>
              </w:rPr>
              <w:t>Nơi nhận:</w:t>
            </w:r>
          </w:p>
        </w:tc>
        <w:tc>
          <w:tcPr>
            <w:tcW w:w="4678" w:type="dxa"/>
            <w:hideMark/>
          </w:tcPr>
          <w:p w:rsidR="001664D3" w:rsidRDefault="0029733D">
            <w:pPr>
              <w:jc w:val="center"/>
              <w:rPr>
                <w:b/>
                <w:sz w:val="28"/>
                <w:szCs w:val="28"/>
                <w:lang w:val="it-IT"/>
              </w:rPr>
            </w:pPr>
            <w:r>
              <w:rPr>
                <w:b/>
                <w:color w:val="000000"/>
                <w:sz w:val="28"/>
                <w:szCs w:val="28"/>
                <w:lang w:val="sv-SE"/>
              </w:rPr>
              <w:t>Hiệu trưởng</w:t>
            </w:r>
          </w:p>
        </w:tc>
      </w:tr>
      <w:tr w:rsidR="001664D3" w:rsidTr="001664D3">
        <w:tc>
          <w:tcPr>
            <w:tcW w:w="4678" w:type="dxa"/>
            <w:hideMark/>
          </w:tcPr>
          <w:p w:rsidR="001664D3" w:rsidRDefault="0029733D" w:rsidP="0029733D">
            <w:pPr>
              <w:jc w:val="both"/>
              <w:rPr>
                <w:sz w:val="22"/>
                <w:lang w:val="de-DE"/>
              </w:rPr>
            </w:pPr>
            <w:r>
              <w:rPr>
                <w:sz w:val="22"/>
                <w:lang w:val="de-DE"/>
              </w:rPr>
              <w:t>- PGD&amp;ĐT Cần Giuộc</w:t>
            </w:r>
            <w:r w:rsidR="001664D3">
              <w:rPr>
                <w:sz w:val="22"/>
                <w:lang w:val="de-DE"/>
              </w:rPr>
              <w:t>; (b/cáo)</w:t>
            </w:r>
          </w:p>
          <w:p w:rsidR="0029733D" w:rsidRDefault="0029733D" w:rsidP="0029733D">
            <w:pPr>
              <w:jc w:val="both"/>
              <w:rPr>
                <w:sz w:val="22"/>
                <w:lang w:val="de-DE"/>
              </w:rPr>
            </w:pPr>
            <w:r>
              <w:rPr>
                <w:sz w:val="22"/>
                <w:lang w:val="de-DE"/>
              </w:rPr>
              <w:t>- CA xã;( phối hợp)</w:t>
            </w:r>
          </w:p>
          <w:p w:rsidR="0029733D" w:rsidRDefault="0029733D" w:rsidP="0029733D">
            <w:pPr>
              <w:jc w:val="both"/>
              <w:rPr>
                <w:sz w:val="28"/>
                <w:szCs w:val="28"/>
                <w:lang w:val="it-IT"/>
              </w:rPr>
            </w:pPr>
            <w:r>
              <w:rPr>
                <w:sz w:val="22"/>
                <w:lang w:val="de-DE"/>
              </w:rPr>
              <w:t>- Lưu VT.</w:t>
            </w:r>
            <w:bookmarkStart w:id="12" w:name="_GoBack"/>
            <w:bookmarkEnd w:id="12"/>
          </w:p>
        </w:tc>
        <w:tc>
          <w:tcPr>
            <w:tcW w:w="4678" w:type="dxa"/>
          </w:tcPr>
          <w:p w:rsidR="001664D3" w:rsidRDefault="001664D3">
            <w:pPr>
              <w:jc w:val="center"/>
              <w:rPr>
                <w:b/>
                <w:sz w:val="28"/>
                <w:szCs w:val="28"/>
                <w:lang w:val="it-IT"/>
              </w:rPr>
            </w:pPr>
          </w:p>
        </w:tc>
      </w:tr>
      <w:tr w:rsidR="001664D3" w:rsidTr="0029733D">
        <w:trPr>
          <w:trHeight w:val="347"/>
        </w:trPr>
        <w:tc>
          <w:tcPr>
            <w:tcW w:w="4678" w:type="dxa"/>
            <w:hideMark/>
          </w:tcPr>
          <w:p w:rsidR="001664D3" w:rsidRDefault="001664D3">
            <w:pPr>
              <w:jc w:val="both"/>
              <w:rPr>
                <w:sz w:val="28"/>
                <w:szCs w:val="28"/>
                <w:lang w:val="it-IT"/>
              </w:rPr>
            </w:pPr>
          </w:p>
        </w:tc>
        <w:tc>
          <w:tcPr>
            <w:tcW w:w="4678" w:type="dxa"/>
          </w:tcPr>
          <w:p w:rsidR="001664D3" w:rsidRDefault="001664D3">
            <w:pPr>
              <w:jc w:val="both"/>
              <w:rPr>
                <w:sz w:val="28"/>
                <w:szCs w:val="28"/>
                <w:lang w:val="it-IT"/>
              </w:rPr>
            </w:pPr>
          </w:p>
        </w:tc>
      </w:tr>
      <w:tr w:rsidR="0029733D" w:rsidTr="001664D3">
        <w:trPr>
          <w:gridAfter w:val="1"/>
          <w:wAfter w:w="4678" w:type="dxa"/>
        </w:trPr>
        <w:tc>
          <w:tcPr>
            <w:tcW w:w="4678" w:type="dxa"/>
          </w:tcPr>
          <w:p w:rsidR="0029733D" w:rsidRDefault="0029733D">
            <w:pPr>
              <w:jc w:val="both"/>
              <w:rPr>
                <w:sz w:val="28"/>
                <w:szCs w:val="28"/>
                <w:lang w:val="it-IT"/>
              </w:rPr>
            </w:pPr>
          </w:p>
        </w:tc>
      </w:tr>
      <w:tr w:rsidR="0029733D" w:rsidTr="001664D3">
        <w:trPr>
          <w:gridAfter w:val="1"/>
          <w:wAfter w:w="4678" w:type="dxa"/>
        </w:trPr>
        <w:tc>
          <w:tcPr>
            <w:tcW w:w="4678" w:type="dxa"/>
          </w:tcPr>
          <w:p w:rsidR="0029733D" w:rsidRDefault="0029733D">
            <w:pPr>
              <w:jc w:val="both"/>
              <w:rPr>
                <w:sz w:val="28"/>
                <w:szCs w:val="28"/>
                <w:lang w:val="it-IT"/>
              </w:rPr>
            </w:pPr>
          </w:p>
        </w:tc>
      </w:tr>
      <w:tr w:rsidR="001664D3" w:rsidTr="001664D3">
        <w:tc>
          <w:tcPr>
            <w:tcW w:w="4678" w:type="dxa"/>
          </w:tcPr>
          <w:p w:rsidR="001664D3" w:rsidRDefault="001664D3" w:rsidP="0029733D">
            <w:pPr>
              <w:rPr>
                <w:sz w:val="22"/>
                <w:lang w:val="de-DE"/>
              </w:rPr>
            </w:pPr>
          </w:p>
        </w:tc>
        <w:tc>
          <w:tcPr>
            <w:tcW w:w="4678" w:type="dxa"/>
          </w:tcPr>
          <w:p w:rsidR="001664D3" w:rsidRDefault="001664D3">
            <w:pPr>
              <w:jc w:val="both"/>
              <w:rPr>
                <w:sz w:val="28"/>
                <w:szCs w:val="28"/>
                <w:lang w:val="it-IT"/>
              </w:rPr>
            </w:pPr>
          </w:p>
          <w:p w:rsidR="001664D3" w:rsidRDefault="001664D3">
            <w:pPr>
              <w:jc w:val="both"/>
              <w:rPr>
                <w:sz w:val="28"/>
                <w:szCs w:val="28"/>
                <w:lang w:val="it-IT"/>
              </w:rPr>
            </w:pPr>
            <w:r>
              <w:rPr>
                <w:sz w:val="28"/>
                <w:szCs w:val="28"/>
                <w:lang w:val="it-IT"/>
              </w:rPr>
              <w:t xml:space="preserve">            </w:t>
            </w:r>
          </w:p>
        </w:tc>
      </w:tr>
      <w:tr w:rsidR="001664D3" w:rsidTr="001664D3">
        <w:tc>
          <w:tcPr>
            <w:tcW w:w="4678" w:type="dxa"/>
          </w:tcPr>
          <w:p w:rsidR="001664D3" w:rsidRDefault="001664D3">
            <w:pPr>
              <w:rPr>
                <w:sz w:val="22"/>
                <w:lang w:val="de-DE"/>
              </w:rPr>
            </w:pPr>
          </w:p>
        </w:tc>
        <w:tc>
          <w:tcPr>
            <w:tcW w:w="4678" w:type="dxa"/>
          </w:tcPr>
          <w:p w:rsidR="001664D3" w:rsidRDefault="001664D3">
            <w:pPr>
              <w:jc w:val="both"/>
              <w:rPr>
                <w:sz w:val="28"/>
                <w:szCs w:val="28"/>
                <w:lang w:val="it-IT"/>
              </w:rPr>
            </w:pPr>
          </w:p>
        </w:tc>
      </w:tr>
    </w:tbl>
    <w:p w:rsidR="001664D3" w:rsidRDefault="001664D3" w:rsidP="001664D3">
      <w:pPr>
        <w:tabs>
          <w:tab w:val="left" w:pos="720"/>
          <w:tab w:val="center" w:pos="7080"/>
        </w:tabs>
        <w:jc w:val="both"/>
        <w:rPr>
          <w:sz w:val="22"/>
          <w:szCs w:val="22"/>
          <w:lang w:val="it-IT"/>
        </w:rPr>
      </w:pPr>
    </w:p>
    <w:p w:rsidR="00800E5F" w:rsidRDefault="00800E5F"/>
    <w:sectPr w:rsidR="00800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014EA"/>
    <w:multiLevelType w:val="hybridMultilevel"/>
    <w:tmpl w:val="889E7F8E"/>
    <w:lvl w:ilvl="0" w:tplc="2F2CFB0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CD5842"/>
    <w:multiLevelType w:val="hybridMultilevel"/>
    <w:tmpl w:val="8352630A"/>
    <w:lvl w:ilvl="0" w:tplc="5DC491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2DF5A1A"/>
    <w:multiLevelType w:val="hybridMultilevel"/>
    <w:tmpl w:val="D34218B2"/>
    <w:lvl w:ilvl="0" w:tplc="8C645DB8">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D3"/>
    <w:rsid w:val="001664D3"/>
    <w:rsid w:val="001A7617"/>
    <w:rsid w:val="0029733D"/>
    <w:rsid w:val="003E1F90"/>
    <w:rsid w:val="007954A0"/>
    <w:rsid w:val="00800E5F"/>
    <w:rsid w:val="00A9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D3"/>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1664D3"/>
    <w:pPr>
      <w:keepNext/>
      <w:spacing w:before="60" w:after="60"/>
      <w:ind w:firstLine="1080"/>
      <w:jc w:val="both"/>
      <w:outlineLvl w:val="0"/>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64D3"/>
    <w:rPr>
      <w:rFonts w:eastAsia="Times New Roman" w:cs="Times New Roman"/>
      <w:b/>
      <w:bCs/>
      <w:i/>
      <w:iCs/>
      <w:szCs w:val="24"/>
    </w:rPr>
  </w:style>
  <w:style w:type="table" w:styleId="TableGrid">
    <w:name w:val="Table Grid"/>
    <w:basedOn w:val="TableNormal"/>
    <w:rsid w:val="001664D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733D"/>
    <w:pPr>
      <w:ind w:left="720"/>
      <w:contextualSpacing/>
    </w:pPr>
  </w:style>
  <w:style w:type="character" w:styleId="Hyperlink">
    <w:name w:val="Hyperlink"/>
    <w:basedOn w:val="DefaultParagraphFont"/>
    <w:uiPriority w:val="99"/>
    <w:unhideWhenUsed/>
    <w:rsid w:val="00297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D3"/>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1664D3"/>
    <w:pPr>
      <w:keepNext/>
      <w:spacing w:before="60" w:after="60"/>
      <w:ind w:firstLine="1080"/>
      <w:jc w:val="both"/>
      <w:outlineLvl w:val="0"/>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64D3"/>
    <w:rPr>
      <w:rFonts w:eastAsia="Times New Roman" w:cs="Times New Roman"/>
      <w:b/>
      <w:bCs/>
      <w:i/>
      <w:iCs/>
      <w:szCs w:val="24"/>
    </w:rPr>
  </w:style>
  <w:style w:type="table" w:styleId="TableGrid">
    <w:name w:val="Table Grid"/>
    <w:basedOn w:val="TableNormal"/>
    <w:rsid w:val="001664D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733D"/>
    <w:pPr>
      <w:ind w:left="720"/>
      <w:contextualSpacing/>
    </w:pPr>
  </w:style>
  <w:style w:type="character" w:styleId="Hyperlink">
    <w:name w:val="Hyperlink"/>
    <w:basedOn w:val="DefaultParagraphFont"/>
    <w:uiPriority w:val="99"/>
    <w:unhideWhenUsed/>
    <w:rsid w:val="00297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B9466-E4EA-444A-A174-2BF316ED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3</cp:revision>
  <dcterms:created xsi:type="dcterms:W3CDTF">2018-12-07T02:57:00Z</dcterms:created>
  <dcterms:modified xsi:type="dcterms:W3CDTF">2018-12-11T09:13:00Z</dcterms:modified>
</cp:coreProperties>
</file>